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2" w:space="6"/>
          <w:right w:val="none" w:color="auto" w:sz="0" w:space="0"/>
        </w:pBdr>
        <w:spacing w:before="302" w:beforeAutospacing="0" w:after="450" w:afterAutospacing="0"/>
        <w:ind w:left="900" w:right="900"/>
        <w:jc w:val="center"/>
        <w:rPr>
          <w:rFonts w:ascii="Adobe 黑体 Std R" w:hAnsi="Adobe 黑体 Std R" w:eastAsia="Adobe 黑体 Std R" w:cs="Adobe 黑体 Std R"/>
          <w:b/>
          <w:color w:val="000000"/>
          <w:sz w:val="36"/>
          <w:szCs w:val="36"/>
        </w:rPr>
      </w:pPr>
      <w:bookmarkStart w:id="0" w:name="_GoBack"/>
      <w:r>
        <w:rPr>
          <w:rFonts w:hint="default" w:ascii="Adobe 黑体 Std R" w:hAnsi="Adobe 黑体 Std R" w:eastAsia="Adobe 黑体 Std R" w:cs="Adobe 黑体 Std R"/>
          <w:b/>
          <w:color w:val="000000"/>
          <w:sz w:val="36"/>
          <w:szCs w:val="36"/>
          <w:bdr w:val="none" w:color="auto" w:sz="0" w:space="0"/>
          <w:shd w:val="clear" w:fill="FFFFFF"/>
        </w:rPr>
        <w:t>西北农林科技大学MOOC学分认定办法（试行）</w:t>
      </w:r>
    </w:p>
    <w:bookmarkEnd w:id="0"/>
    <w:p>
      <w:pPr>
        <w:keepNext w:val="0"/>
        <w:keepLines w:val="0"/>
        <w:widowControl/>
        <w:suppressLineNumbers w:val="0"/>
        <w:pBdr>
          <w:top w:val="single" w:color="BCBCBC" w:sz="6" w:space="6"/>
          <w:left w:val="single" w:color="BCBCBC" w:sz="6" w:space="22"/>
          <w:bottom w:val="single" w:color="BCBCBC" w:sz="6" w:space="6"/>
          <w:right w:val="single" w:color="BCBCBC" w:sz="6" w:space="66"/>
        </w:pBdr>
        <w:shd w:val="clear" w:fill="E9E9E9"/>
        <w:spacing w:before="525" w:beforeAutospacing="0" w:after="285" w:afterAutospacing="0"/>
        <w:ind w:left="900" w:right="900"/>
        <w:jc w:val="center"/>
        <w:rPr>
          <w:rFonts w:hint="eastAsia" w:ascii="宋体" w:hAnsi="宋体" w:eastAsia="宋体" w:cs="宋体"/>
          <w:color w:val="6B6B6B"/>
          <w:sz w:val="21"/>
          <w:szCs w:val="21"/>
        </w:rPr>
      </w:pPr>
      <w:r>
        <w:rPr>
          <w:rStyle w:val="16"/>
          <w:rFonts w:hint="eastAsia" w:ascii="宋体" w:hAnsi="宋体" w:eastAsia="宋体" w:cs="宋体"/>
          <w:b/>
          <w:bdr w:val="none" w:color="auto" w:sz="0" w:space="0"/>
          <w:shd w:val="clear" w:fill="E9E9E9"/>
          <w:lang w:val="en-US" w:eastAsia="zh-CN" w:bidi="ar"/>
        </w:rPr>
        <w:t>文号</w:t>
      </w:r>
      <w:r>
        <w:rPr>
          <w:rStyle w:val="16"/>
          <w:rFonts w:hint="eastAsia" w:ascii="宋体" w:hAnsi="宋体" w:eastAsia="宋体" w:cs="宋体"/>
          <w:bdr w:val="none" w:color="auto" w:sz="0" w:space="0"/>
          <w:shd w:val="clear" w:fill="E9E9E9"/>
          <w:lang w:val="en-US" w:eastAsia="zh-CN" w:bidi="ar"/>
        </w:rPr>
        <w:t>：校教发〔2016〕226号  </w:t>
      </w:r>
      <w:r>
        <w:rPr>
          <w:rStyle w:val="16"/>
          <w:rFonts w:hint="eastAsia" w:ascii="宋体" w:hAnsi="宋体" w:eastAsia="宋体" w:cs="宋体"/>
          <w:b/>
          <w:bdr w:val="none" w:color="auto" w:sz="0" w:space="0"/>
          <w:shd w:val="clear" w:fill="E9E9E9"/>
          <w:lang w:val="en-US" w:eastAsia="zh-CN" w:bidi="ar"/>
        </w:rPr>
        <w:t>印发时间</w:t>
      </w:r>
      <w:r>
        <w:rPr>
          <w:rStyle w:val="16"/>
          <w:rFonts w:hint="eastAsia" w:ascii="宋体" w:hAnsi="宋体" w:eastAsia="宋体" w:cs="宋体"/>
          <w:bdr w:val="none" w:color="auto" w:sz="0" w:space="0"/>
          <w:shd w:val="clear" w:fill="E9E9E9"/>
          <w:lang w:val="en-US" w:eastAsia="zh-CN" w:bidi="ar"/>
        </w:rPr>
        <w:t>：2017-09-29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第一章 总则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第一条 在互联网和教育教学不断深度融合的背景下，为充分利用在线优质课程资源，激发学生学习积极性和主动性，结合学校人才培养方案和教学实际，特制订本办法。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第二条 MOOC（massive open online courses）学分认定遵循学生自愿、结果认定、总量控制、注重效果原则。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第二章 认定范围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第三条 全日制普通本科生在校期间，在学校认可的MOOC教学平台上或学校公布的MOOC课程目录中实名注册修读MOOC课程，考核合格后方可认定学分。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第四条 MOOC教学平台和课程目录由学校组织专家遴选推荐，经学校教学指导专门委员会审定后公布，并适时更新。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第五条 国外MOOC平台选择自然科学、工程与技术等学科优质课程进行认定。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第三章 认定方式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第六条 学生修读的MOOC课程，根据其所学专业人才培养方案可认定为通识类选修课、选修课或必修课学分。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第七条 每个学生通识类选修课学分累计认定不超过3个学分，选修课和必修课学分总共累计认定不超过10个学分，专业人才培养方案中单独开设的实验、实践类课程不能以MOOC课程学分认定替换。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第八条 学生修读通识类MOOC课程且考核合格，可认定通识类选修课学分，每门课程认定1学分，成绩按“合格”记载，不参与学分成绩计算。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第九条 学生修读与其专业人才培养方案中选修课程内容相同（近）的MOOC课程，可认定选修课程学分，课程成绩按“合格”记载，不参与学分成绩计算。如需参与学分成绩计算，学生须申请参加课程结业考核，课程总评成绩根据课程结业考核和平时考核成绩综合评定，平时考核成绩可评定为“优秀”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第十条 学生修读与其专业人才培养方案中必修课程内容相同（近）的MOOC课程且考核合格，可申请免听该课程，直接参加课程结业考核，课程总评成绩根据课程结业考核和平时考核成绩综合评定，平时考核成绩可评定为“优秀”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第四章 认定程序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第十一条 学生完成MOOC课程学习，考核合格，向其所在学院（系）提交合格证书等材料申请学分认定。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第十二条 学生所在学院（系）根据人才培养方案和申请材料，对学生修读情况进行审核、认定学分后报教务处审定。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第十三条 教务处审定通过后，不参与学分成绩计算的课程直接登录成绩，参与学分成绩计算的课程，学生参加课程结业考核后由任课教师评定、登录成绩。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第五章 认定时间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第十四条 学生获得MOOC课程合格证书后须在三个月内申请课程学分认定，过期不予受理。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第十五条 学校每学期于第二周、第八周、第十五周集中受理三次学生MOOC课程学分认定申请。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jc w:val="center"/>
      </w:pPr>
      <w:r>
        <w:rPr>
          <w:rStyle w:val="6"/>
          <w:b/>
          <w:bdr w:val="none" w:color="auto" w:sz="0" w:space="0"/>
          <w:shd w:val="clear" w:fill="FFFFFF"/>
        </w:rPr>
        <w:t>第六章 附则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第十六条 学生在MOOC平台学习涉及的费用由学生自行承担。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第十七条 本办法由教务处负责解释，自发布之日起施行。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 w:line="480" w:lineRule="atLeast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submitted-by21"/>
    <w:basedOn w:val="5"/>
    <w:uiPriority w:val="0"/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2019-12-05T00:23:43Z</dcterms:created>
  <dc:creator>lgz</dc:creator>
  <cp:lastModifiedBy>光</cp:lastModifiedBy>
  <dcterms:modified xsi:type="dcterms:W3CDTF">2019-12-05T00:23:56Z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